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753365" w:rsidRDefault="00F92268" w:rsidP="00850792">
      <w:pPr>
        <w:pStyle w:val="BodyText"/>
        <w:rPr>
          <w:sz w:val="6"/>
          <w:szCs w:val="6"/>
        </w:rPr>
      </w:pPr>
      <w:r w:rsidRPr="00753365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753365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753365" w:rsidRDefault="00F92268" w:rsidP="00F246C7">
            <w:pPr>
              <w:pStyle w:val="RefTableData"/>
            </w:pPr>
            <w:r w:rsidRPr="00753365">
              <w:t>Reference number(s)</w:t>
            </w:r>
          </w:p>
        </w:tc>
      </w:tr>
      <w:tr w:rsidR="00F92268" w:rsidRPr="00753365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F451A5D" w:rsidR="00F92268" w:rsidRPr="00753365" w:rsidRDefault="00B0150C" w:rsidP="00F246C7">
            <w:pPr>
              <w:pStyle w:val="RefTableHeader"/>
            </w:pPr>
            <w:r w:rsidRPr="00753365">
              <w:t>2299-A</w:t>
            </w:r>
          </w:p>
        </w:tc>
      </w:tr>
    </w:tbl>
    <w:p w14:paraId="74FBA5B4" w14:textId="77777777" w:rsidR="00051356" w:rsidRPr="00753365" w:rsidRDefault="00051356" w:rsidP="00A672B3">
      <w:pPr>
        <w:pStyle w:val="BodyText"/>
        <w:rPr>
          <w:b/>
          <w:bCs/>
          <w:sz w:val="16"/>
          <w:szCs w:val="16"/>
        </w:rPr>
        <w:sectPr w:rsidR="00051356" w:rsidRPr="00753365" w:rsidSect="002201E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03AA20E" w:rsidR="004B15BB" w:rsidRPr="00753365" w:rsidRDefault="00A37458" w:rsidP="00A37458">
      <w:pPr>
        <w:pStyle w:val="Heading1"/>
      </w:pPr>
      <w:r w:rsidRPr="00753365">
        <w:t>Specialty Guideline Management</w:t>
      </w:r>
      <w:r w:rsidR="00594A70" w:rsidRPr="00753365">
        <w:br/>
      </w:r>
      <w:r w:rsidRPr="00753365">
        <w:t>Mylotarg</w:t>
      </w:r>
    </w:p>
    <w:p w14:paraId="139D57E5" w14:textId="32AE2B27" w:rsidR="00753365" w:rsidRPr="00BD1CC1" w:rsidRDefault="00753365" w:rsidP="00753365">
      <w:pPr>
        <w:pStyle w:val="Heading2"/>
      </w:pPr>
      <w:r w:rsidRPr="00BD1CC1">
        <w:t>Products Referenced by this Document</w:t>
      </w:r>
    </w:p>
    <w:p w14:paraId="1641A49E" w14:textId="15242E84" w:rsidR="00753365" w:rsidRPr="00BD1CC1" w:rsidRDefault="00753365" w:rsidP="00753365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810D2E">
        <w:t>Over</w:t>
      </w:r>
      <w:r w:rsidR="00FA26A8">
        <w:t>-</w:t>
      </w:r>
      <w:r w:rsidR="00810D2E">
        <w:t>the</w:t>
      </w:r>
      <w:r w:rsidR="00FA26A8">
        <w:t>-</w:t>
      </w:r>
      <w:r w:rsidR="00810D2E">
        <w:t>counter (</w:t>
      </w:r>
      <w:r w:rsidRPr="00BD1CC1">
        <w:t>OTC</w:t>
      </w:r>
      <w:r w:rsidR="00810D2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753365" w:rsidRPr="00BD1CC1" w14:paraId="01D09F67" w14:textId="77777777" w:rsidTr="00C07D32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F54EC41" w14:textId="77777777" w:rsidR="00753365" w:rsidRPr="00BD1CC1" w:rsidRDefault="00753365" w:rsidP="00C07D32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27F875EC" w14:textId="77777777" w:rsidR="00753365" w:rsidRPr="00BD1CC1" w:rsidRDefault="00753365" w:rsidP="00C07D32">
            <w:pPr>
              <w:pStyle w:val="TableHeader"/>
            </w:pPr>
            <w:r w:rsidRPr="00BD1CC1">
              <w:t>Generic Name</w:t>
            </w:r>
          </w:p>
        </w:tc>
      </w:tr>
      <w:tr w:rsidR="00753365" w:rsidRPr="00BD1CC1" w14:paraId="20738159" w14:textId="77777777" w:rsidTr="00C07D32">
        <w:trPr>
          <w:cantSplit/>
        </w:trPr>
        <w:tc>
          <w:tcPr>
            <w:tcW w:w="5265" w:type="dxa"/>
          </w:tcPr>
          <w:p w14:paraId="3B7FDC87" w14:textId="3E2EB2EF" w:rsidR="00753365" w:rsidRPr="00BD1CC1" w:rsidRDefault="00753365" w:rsidP="003E4B38">
            <w:pPr>
              <w:pStyle w:val="TableData"/>
            </w:pPr>
            <w:r w:rsidRPr="00753365">
              <w:t>Mylotarg</w:t>
            </w:r>
          </w:p>
        </w:tc>
        <w:tc>
          <w:tcPr>
            <w:tcW w:w="5595" w:type="dxa"/>
          </w:tcPr>
          <w:p w14:paraId="333C0408" w14:textId="0BF751BC" w:rsidR="00753365" w:rsidRPr="00BD1CC1" w:rsidRDefault="00753365" w:rsidP="003E4B38">
            <w:pPr>
              <w:pStyle w:val="TableData"/>
            </w:pPr>
            <w:r w:rsidRPr="00753365">
              <w:t>gemtuzumab ozogamicin</w:t>
            </w:r>
          </w:p>
        </w:tc>
      </w:tr>
    </w:tbl>
    <w:bookmarkEnd w:id="0"/>
    <w:p w14:paraId="14CE6108" w14:textId="1768C3F7" w:rsidR="00FC1AAD" w:rsidRPr="00753365" w:rsidRDefault="00ED052F" w:rsidP="00FF66BF">
      <w:pPr>
        <w:pStyle w:val="Heading2"/>
        <w:tabs>
          <w:tab w:val="left" w:pos="9195"/>
        </w:tabs>
      </w:pPr>
      <w:r w:rsidRPr="00753365">
        <w:t>Indications</w:t>
      </w:r>
    </w:p>
    <w:p w14:paraId="5B28B546" w14:textId="7092BABA" w:rsidR="00A37458" w:rsidRPr="00753365" w:rsidRDefault="00A37458" w:rsidP="00A37458">
      <w:pPr>
        <w:pStyle w:val="BodyText"/>
      </w:pPr>
      <w:r w:rsidRPr="0075336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A075385" w:rsidR="00ED052F" w:rsidRPr="00753365" w:rsidRDefault="00ED052F" w:rsidP="00ED052F">
      <w:pPr>
        <w:pStyle w:val="Heading3"/>
        <w:keepNext w:val="0"/>
      </w:pPr>
      <w:r w:rsidRPr="00753365">
        <w:t>FDA-approved Indications</w:t>
      </w:r>
      <w:r w:rsidR="00753365" w:rsidRPr="00753365">
        <w:rPr>
          <w:vertAlign w:val="superscript"/>
        </w:rPr>
        <w:t>1</w:t>
      </w:r>
    </w:p>
    <w:p w14:paraId="68B068A5" w14:textId="77777777" w:rsidR="00A37458" w:rsidRPr="00753365" w:rsidRDefault="00A37458" w:rsidP="00101868">
      <w:pPr>
        <w:pStyle w:val="BodyText"/>
      </w:pPr>
      <w:r w:rsidRPr="00753365">
        <w:t>Acute Myeloid Leukemia (AML)</w:t>
      </w:r>
    </w:p>
    <w:p w14:paraId="52AB6EBD" w14:textId="04FBE212" w:rsidR="00A37458" w:rsidRPr="00753365" w:rsidRDefault="00A37458" w:rsidP="00A37458">
      <w:pPr>
        <w:pStyle w:val="ListParagraph"/>
        <w:numPr>
          <w:ilvl w:val="0"/>
          <w:numId w:val="26"/>
        </w:numPr>
        <w:contextualSpacing w:val="0"/>
      </w:pPr>
      <w:r w:rsidRPr="00753365">
        <w:t>Newly diagnosed CD33-positive acute myeloid leukemia in adults and pediatric patients 1 month and older</w:t>
      </w:r>
    </w:p>
    <w:p w14:paraId="27020477" w14:textId="5A6BCC67" w:rsidR="00A37458" w:rsidRPr="00753365" w:rsidRDefault="00A37458" w:rsidP="0028511D">
      <w:pPr>
        <w:pStyle w:val="ListParagraph"/>
        <w:numPr>
          <w:ilvl w:val="0"/>
          <w:numId w:val="26"/>
        </w:numPr>
      </w:pPr>
      <w:r w:rsidRPr="00753365">
        <w:t>Relapsed or refractory CD33-positive AML in adults and pediatric patients 2 years and older</w:t>
      </w:r>
    </w:p>
    <w:p w14:paraId="0B5EC236" w14:textId="6CFBA9AC" w:rsidR="0044763A" w:rsidRPr="00753365" w:rsidRDefault="009F2EF1" w:rsidP="0044763A">
      <w:pPr>
        <w:pStyle w:val="Heading3"/>
      </w:pPr>
      <w:r w:rsidRPr="00753365">
        <w:t>Compendial Uses</w:t>
      </w:r>
      <w:r w:rsidR="00101868" w:rsidRPr="00101868">
        <w:rPr>
          <w:vertAlign w:val="superscript"/>
        </w:rPr>
        <w:t>2</w:t>
      </w:r>
    </w:p>
    <w:p w14:paraId="1D127D63" w14:textId="75BD6A9F" w:rsidR="00A37458" w:rsidRPr="00753365" w:rsidRDefault="00A37458" w:rsidP="00101868">
      <w:pPr>
        <w:pStyle w:val="BodyText"/>
      </w:pPr>
      <w:r w:rsidRPr="00753365">
        <w:t>Acute promyelocytic leukemia (APL)</w:t>
      </w:r>
    </w:p>
    <w:p w14:paraId="7DBEF687" w14:textId="4AF3602D" w:rsidR="00A37458" w:rsidRPr="00753365" w:rsidRDefault="00A37458" w:rsidP="00A37458">
      <w:pPr>
        <w:pStyle w:val="BodyText"/>
      </w:pPr>
      <w:r w:rsidRPr="00753365">
        <w:t>All other indications are considered experimental/investigational and not medically necessary.</w:t>
      </w:r>
    </w:p>
    <w:p w14:paraId="36381B6D" w14:textId="78F8DEFE" w:rsidR="000D2496" w:rsidRPr="00753365" w:rsidRDefault="000D2496" w:rsidP="000D2496">
      <w:pPr>
        <w:pStyle w:val="Heading2"/>
      </w:pPr>
      <w:r w:rsidRPr="00753365">
        <w:lastRenderedPageBreak/>
        <w:t>Documentation</w:t>
      </w:r>
    </w:p>
    <w:p w14:paraId="50D642B0" w14:textId="000ECE09" w:rsidR="00A37458" w:rsidRPr="00753365" w:rsidRDefault="00A37458" w:rsidP="00A37458">
      <w:pPr>
        <w:pStyle w:val="BodyText"/>
      </w:pPr>
      <w:r w:rsidRPr="00753365">
        <w:t>Submission of the following information is necessary to initiate the prior authorization review: For AML and APL: medical record documentation of CD33-positive tumor as confirmed by testing or analysis to identify the CD33 antigen.</w:t>
      </w:r>
    </w:p>
    <w:p w14:paraId="4A5B15F8" w14:textId="2AE3BB9B" w:rsidR="00006174" w:rsidRPr="00753365" w:rsidRDefault="00105438" w:rsidP="00006174">
      <w:pPr>
        <w:pStyle w:val="Heading2"/>
      </w:pPr>
      <w:r w:rsidRPr="00753365">
        <w:t>Coverage Criteria</w:t>
      </w:r>
    </w:p>
    <w:p w14:paraId="6B439E31" w14:textId="22C2D13C" w:rsidR="00A37458" w:rsidRPr="00753365" w:rsidRDefault="00A37458" w:rsidP="00753365">
      <w:pPr>
        <w:pStyle w:val="Heading3"/>
        <w:keepNext w:val="0"/>
      </w:pPr>
      <w:r w:rsidRPr="00753365">
        <w:t>Acute Myeloid Leukemia (AML)</w:t>
      </w:r>
      <w:r w:rsidR="000B0356">
        <w:t xml:space="preserve">/ </w:t>
      </w:r>
      <w:r w:rsidR="000B0356" w:rsidRPr="00753365">
        <w:t>Acute Promyelocytic Leukemia (APL)</w:t>
      </w:r>
      <w:r w:rsidRPr="00753365">
        <w:rPr>
          <w:vertAlign w:val="superscript"/>
        </w:rPr>
        <w:t>1</w:t>
      </w:r>
      <w:r w:rsidR="000B0356">
        <w:rPr>
          <w:vertAlign w:val="superscript"/>
        </w:rPr>
        <w:t>,2</w:t>
      </w:r>
    </w:p>
    <w:p w14:paraId="7C57DCDE" w14:textId="4CA2B86D" w:rsidR="00A37458" w:rsidRPr="00753365" w:rsidRDefault="00A37458" w:rsidP="00753365">
      <w:pPr>
        <w:pStyle w:val="BodyText"/>
      </w:pPr>
      <w:r w:rsidRPr="00753365">
        <w:t>Authorization of 12 months may be granted for the treatment of AML</w:t>
      </w:r>
      <w:r w:rsidR="000B0356">
        <w:t>/APL</w:t>
      </w:r>
      <w:r w:rsidRPr="00753365">
        <w:t xml:space="preserve"> when the tumor is CD33-positive as confirmed by testing or analysis to identify the CD33 antigen.</w:t>
      </w:r>
    </w:p>
    <w:p w14:paraId="3A643EC3" w14:textId="7ABA3904" w:rsidR="00A501AC" w:rsidRPr="00753365" w:rsidRDefault="00A501AC" w:rsidP="00B0150C">
      <w:pPr>
        <w:pStyle w:val="Heading2"/>
        <w:tabs>
          <w:tab w:val="left" w:pos="9180"/>
        </w:tabs>
      </w:pPr>
      <w:r w:rsidRPr="00753365">
        <w:t>Continuation of Therapy</w:t>
      </w:r>
    </w:p>
    <w:p w14:paraId="31FB9A41" w14:textId="04E31541" w:rsidR="00B0150C" w:rsidRPr="00753365" w:rsidRDefault="00B0150C" w:rsidP="00B0150C">
      <w:pPr>
        <w:pStyle w:val="BodyText"/>
      </w:pPr>
      <w:r w:rsidRPr="00753365">
        <w:t xml:space="preserve">Authorization of 12 months may be granted for continued treatment in members requesting reauthorization for an indication listed in </w:t>
      </w:r>
      <w:r w:rsidR="00E43A08">
        <w:t>the Coverage Criteria section</w:t>
      </w:r>
      <w:r w:rsidRPr="00753365">
        <w:t xml:space="preserve"> when there is no evidence of unacceptable toxicity or disease progression while on the current regimen.</w:t>
      </w:r>
    </w:p>
    <w:p w14:paraId="10DA4309" w14:textId="2AB8D78F" w:rsidR="00FF66BF" w:rsidRPr="00753365" w:rsidRDefault="00FF66BF" w:rsidP="00FF66BF">
      <w:pPr>
        <w:pStyle w:val="Heading2"/>
      </w:pPr>
      <w:r w:rsidRPr="00753365">
        <w:t>References</w:t>
      </w:r>
    </w:p>
    <w:p w14:paraId="58221644" w14:textId="730EB990" w:rsidR="00B0150C" w:rsidRPr="00753365" w:rsidRDefault="00B0150C" w:rsidP="0028511D">
      <w:pPr>
        <w:pStyle w:val="ReferenceOrdered"/>
      </w:pPr>
      <w:r w:rsidRPr="00753365">
        <w:t>Mylotarg [package insert]. Philadelphia, PA: Pfizer; August 2021.</w:t>
      </w:r>
    </w:p>
    <w:p w14:paraId="2EBD076B" w14:textId="64EAC809" w:rsidR="00B0150C" w:rsidRPr="00753365" w:rsidRDefault="00B0150C" w:rsidP="0028511D">
      <w:pPr>
        <w:pStyle w:val="ReferenceOrdered"/>
      </w:pPr>
      <w:r w:rsidRPr="00753365">
        <w:t>The NCCN Drugs &amp; Biologics Compendium® © 202</w:t>
      </w:r>
      <w:r w:rsidR="00087110">
        <w:t>5</w:t>
      </w:r>
      <w:r w:rsidRPr="00753365">
        <w:t xml:space="preserve"> National Comprehensive Cancer Network, Inc. https://www.nccn.org. Accessed January </w:t>
      </w:r>
      <w:r w:rsidR="00087110">
        <w:t>17</w:t>
      </w:r>
      <w:r w:rsidRPr="00753365">
        <w:t>, 202</w:t>
      </w:r>
      <w:r w:rsidR="00087110">
        <w:t>5</w:t>
      </w:r>
      <w:r w:rsidRPr="00753365">
        <w:t>.</w:t>
      </w:r>
    </w:p>
    <w:sectPr w:rsidR="00B0150C" w:rsidRPr="00753365" w:rsidSect="00E11B8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7B5F6" w14:textId="77777777" w:rsidR="001B7E18" w:rsidRDefault="001B7E18">
      <w:r>
        <w:separator/>
      </w:r>
    </w:p>
  </w:endnote>
  <w:endnote w:type="continuationSeparator" w:id="0">
    <w:p w14:paraId="404B3CCF" w14:textId="77777777" w:rsidR="001B7E18" w:rsidRDefault="001B7E18">
      <w:r>
        <w:continuationSeparator/>
      </w:r>
    </w:p>
  </w:endnote>
  <w:endnote w:type="continuationNotice" w:id="1">
    <w:p w14:paraId="4839E783" w14:textId="77777777" w:rsidR="001B7E18" w:rsidRDefault="001B7E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CE99A" w14:textId="28D4A42E" w:rsidR="00753365" w:rsidRPr="00EC47B6" w:rsidRDefault="00753365" w:rsidP="0075336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71F8D" w:rsidRPr="00C71F8D">
      <w:rPr>
        <w:rFonts w:cs="Arial"/>
        <w:noProof/>
        <w:sz w:val="16"/>
        <w:szCs w:val="16"/>
      </w:rPr>
      <w:t>Mylotarg</w:t>
    </w:r>
    <w:r w:rsidR="00C71F8D">
      <w:rPr>
        <w:rFonts w:cs="Arial"/>
        <w:noProof/>
        <w:snapToGrid w:val="0"/>
        <w:color w:val="000000"/>
        <w:sz w:val="16"/>
        <w:szCs w:val="16"/>
      </w:rPr>
      <w:t xml:space="preserve"> SGM 2299-A</w:t>
    </w:r>
    <w:r w:rsidR="00C71F8D" w:rsidRPr="00C71F8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D564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28BA7EA1" w14:textId="205C7D34" w:rsidR="00753365" w:rsidRPr="00EC47B6" w:rsidRDefault="00753365" w:rsidP="0075336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FA9ED1B" w14:textId="65B8FBEC" w:rsidR="00753365" w:rsidRPr="00F50D98" w:rsidRDefault="00753365" w:rsidP="00A4780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0A17" w14:textId="0A186C09" w:rsidR="00753365" w:rsidRPr="00EC47B6" w:rsidRDefault="00753365" w:rsidP="0075336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71F8D" w:rsidRPr="00C71F8D">
      <w:rPr>
        <w:rFonts w:cs="Arial"/>
        <w:noProof/>
        <w:sz w:val="16"/>
        <w:szCs w:val="16"/>
      </w:rPr>
      <w:t>Mylotarg</w:t>
    </w:r>
    <w:r w:rsidR="00C71F8D">
      <w:rPr>
        <w:rFonts w:cs="Arial"/>
        <w:noProof/>
        <w:snapToGrid w:val="0"/>
        <w:color w:val="000000"/>
        <w:sz w:val="16"/>
        <w:szCs w:val="16"/>
      </w:rPr>
      <w:t xml:space="preserve"> SGM 2299-A</w:t>
    </w:r>
    <w:r w:rsidR="00C71F8D" w:rsidRPr="00C71F8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D564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D53C55D" w14:textId="3B071B3C" w:rsidR="00753365" w:rsidRPr="00EC47B6" w:rsidRDefault="00753365" w:rsidP="0075336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0FC0DB9" w14:textId="7366980B" w:rsidR="00753365" w:rsidRPr="00F50D98" w:rsidRDefault="00753365" w:rsidP="00A4780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E406" w14:textId="77777777" w:rsidR="001B7E18" w:rsidRDefault="001B7E18">
      <w:r>
        <w:separator/>
      </w:r>
    </w:p>
  </w:footnote>
  <w:footnote w:type="continuationSeparator" w:id="0">
    <w:p w14:paraId="3964F71D" w14:textId="77777777" w:rsidR="001B7E18" w:rsidRDefault="001B7E18">
      <w:r>
        <w:continuationSeparator/>
      </w:r>
    </w:p>
  </w:footnote>
  <w:footnote w:type="continuationNotice" w:id="1">
    <w:p w14:paraId="60EE92FA" w14:textId="77777777" w:rsidR="001B7E18" w:rsidRDefault="001B7E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53365" w:rsidRPr="00753365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53365" w:rsidRDefault="00ED04EC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753365">
            <w:rPr>
              <w:rFonts w:cs="Arial"/>
              <w:color w:val="000000" w:themeColor="text1"/>
              <w:sz w:val="16"/>
              <w:szCs w:val="16"/>
            </w:rPr>
            <w:t>Reference number(s)</w:t>
          </w:r>
        </w:p>
      </w:tc>
    </w:tr>
    <w:tr w:rsidR="00ED04EC" w:rsidRPr="00753365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C8D6823" w:rsidR="00ED04EC" w:rsidRPr="00753365" w:rsidRDefault="00753365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753365">
            <w:rPr>
              <w:rFonts w:cs="Arial"/>
              <w:color w:val="000000" w:themeColor="text1"/>
              <w:sz w:val="16"/>
              <w:szCs w:val="16"/>
            </w:rPr>
            <w:t>2299-A</w:t>
          </w:r>
        </w:p>
      </w:tc>
    </w:tr>
  </w:tbl>
  <w:p w14:paraId="0D5ACCC2" w14:textId="462A1075" w:rsidR="00ED04EC" w:rsidRPr="00753365" w:rsidRDefault="00ED04EC" w:rsidP="00B02279">
    <w:pPr>
      <w:pStyle w:val="Header"/>
      <w:rPr>
        <w:color w:val="000000" w:themeColor="text1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550DDC4" w:rsidR="000F5383" w:rsidRPr="00FF66BF" w:rsidRDefault="00753365" w:rsidP="009E1F57">
          <w:pPr>
            <w:pStyle w:val="RefTableHeader"/>
          </w:pPr>
          <w:r>
            <w:t>2299-A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C64DD"/>
    <w:multiLevelType w:val="hybridMultilevel"/>
    <w:tmpl w:val="7DEE9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A164B"/>
    <w:multiLevelType w:val="hybridMultilevel"/>
    <w:tmpl w:val="5CCA22EC"/>
    <w:lvl w:ilvl="0" w:tplc="FD8A65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D03509"/>
    <w:multiLevelType w:val="hybridMultilevel"/>
    <w:tmpl w:val="E0D87296"/>
    <w:lvl w:ilvl="0" w:tplc="A4F6095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5E2A1E"/>
    <w:multiLevelType w:val="hybridMultilevel"/>
    <w:tmpl w:val="F7202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61609"/>
    <w:multiLevelType w:val="hybridMultilevel"/>
    <w:tmpl w:val="BDDA0FC2"/>
    <w:lvl w:ilvl="0" w:tplc="F4FC2F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1213BD"/>
    <w:multiLevelType w:val="hybridMultilevel"/>
    <w:tmpl w:val="EA9CE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9"/>
  </w:num>
  <w:num w:numId="26" w16cid:durableId="1988508800">
    <w:abstractNumId w:val="18"/>
  </w:num>
  <w:num w:numId="27" w16cid:durableId="2122602538">
    <w:abstractNumId w:val="21"/>
  </w:num>
  <w:num w:numId="28" w16cid:durableId="1121414451">
    <w:abstractNumId w:val="11"/>
  </w:num>
  <w:num w:numId="29" w16cid:durableId="2071690994">
    <w:abstractNumId w:val="15"/>
  </w:num>
  <w:num w:numId="30" w16cid:durableId="1878078933">
    <w:abstractNumId w:val="28"/>
  </w:num>
  <w:num w:numId="31" w16cid:durableId="204809517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D59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110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356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4DB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868"/>
    <w:rsid w:val="00101C90"/>
    <w:rsid w:val="00101D40"/>
    <w:rsid w:val="0010327C"/>
    <w:rsid w:val="00103E4B"/>
    <w:rsid w:val="00103E71"/>
    <w:rsid w:val="00104849"/>
    <w:rsid w:val="00104FED"/>
    <w:rsid w:val="0010527A"/>
    <w:rsid w:val="00105438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32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8BD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B7E18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1EE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E92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11D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6A01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BE8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B38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2C6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A70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92A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4A3B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87B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588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365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7F3F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0D2E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2F5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03D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458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4780F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C7CFD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50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566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7F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1BC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F8D"/>
    <w:rsid w:val="00C72424"/>
    <w:rsid w:val="00C73E8B"/>
    <w:rsid w:val="00C7456E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64D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1B8D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E0F"/>
    <w:rsid w:val="00E4269F"/>
    <w:rsid w:val="00E43125"/>
    <w:rsid w:val="00E434A7"/>
    <w:rsid w:val="00E43709"/>
    <w:rsid w:val="00E43A08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6A8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7BEF84-6704-49B7-B899-C71CC418C0F5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1736</Characters>
  <Application>Microsoft Office Word</Application>
  <DocSecurity>0</DocSecurity>
  <Lines>42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Mylotarg 2299-A SGM 2024</vt:lpstr>
    </vt:vector>
  </TitlesOfParts>
  <Company>PCS Health Systems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Mylotarg SGM 2299-A</dc:title>
  <dc:subject/>
  <dc:creator>CVS Caremark</dc:creator>
  <cp:keywords/>
  <cp:lastModifiedBy>Huerta, Linda M</cp:lastModifiedBy>
  <cp:revision>3</cp:revision>
  <cp:lastPrinted>2024-04-09T09:54:00Z</cp:lastPrinted>
  <dcterms:created xsi:type="dcterms:W3CDTF">2025-04-23T16:05:00Z</dcterms:created>
  <dcterms:modified xsi:type="dcterms:W3CDTF">2025-04-23T16:06:00Z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